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2" w:type="dxa"/>
        <w:tblInd w:w="0" w:type="dxa"/>
        <w:tblLook w:val="04A0" w:firstRow="1" w:lastRow="0" w:firstColumn="1" w:lastColumn="0" w:noHBand="0" w:noVBand="1"/>
      </w:tblPr>
      <w:tblGrid>
        <w:gridCol w:w="3576"/>
        <w:gridCol w:w="2614"/>
        <w:gridCol w:w="1643"/>
        <w:gridCol w:w="1229"/>
      </w:tblGrid>
      <w:tr w:rsidR="008B072E" w14:paraId="43860FF2" w14:textId="77777777" w:rsidTr="76C5D006"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5DE" w14:textId="41A94DAA" w:rsidR="008B072E" w:rsidRDefault="008B072E" w:rsidP="76C5D006">
            <w:pPr>
              <w:pStyle w:val="Normaalweb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9F319E1" wp14:editId="49833E44">
                  <wp:extent cx="2127250" cy="1085850"/>
                  <wp:effectExtent l="0" t="0" r="6350" b="0"/>
                  <wp:docPr id="1595659668" name="Afbeelding 1" descr="Afbeelding met Lettertype, Graphics, grafische vormgeving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664A48" w14:textId="77777777" w:rsidR="008B072E" w:rsidRDefault="008B072E" w:rsidP="76C5D006"/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23C" w14:textId="2DD4F8AE" w:rsidR="4BE0741E" w:rsidRDefault="4BE0741E" w:rsidP="76C5D006"/>
          <w:p w14:paraId="0BDA3F48" w14:textId="77777777" w:rsidR="008B072E" w:rsidRDefault="008B072E" w:rsidP="76C5D006">
            <w:r w:rsidRPr="76C5D006">
              <w:t>Agenda</w:t>
            </w:r>
          </w:p>
          <w:p w14:paraId="3F839B6C" w14:textId="22E4B51C" w:rsidR="44B3C342" w:rsidRDefault="44B3C342" w:rsidP="76C5D006">
            <w:r w:rsidRPr="76C5D006">
              <w:t xml:space="preserve">Algemene Leden </w:t>
            </w:r>
          </w:p>
          <w:p w14:paraId="18D28ABA" w14:textId="0567237C" w:rsidR="44B3C342" w:rsidRDefault="44B3C342" w:rsidP="76C5D006">
            <w:r w:rsidRPr="76C5D006">
              <w:t>Vergadering</w:t>
            </w:r>
          </w:p>
          <w:p w14:paraId="4EBA553E" w14:textId="411B39D1" w:rsidR="00CA65CA" w:rsidRDefault="00CA65CA" w:rsidP="76C5D006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0C2E" w14:textId="0EF64263" w:rsidR="008B072E" w:rsidRDefault="007301BA" w:rsidP="76C5D006">
            <w:r w:rsidRPr="76C5D006">
              <w:t xml:space="preserve"> </w:t>
            </w:r>
            <w:r w:rsidR="006C7117" w:rsidRPr="76C5D006">
              <w:t>d</w:t>
            </w:r>
            <w:r w:rsidR="008B072E" w:rsidRPr="76C5D006">
              <w:t>atum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6B1" w14:textId="77777777" w:rsidR="008B072E" w:rsidRDefault="008B072E" w:rsidP="76C5D006"/>
        </w:tc>
      </w:tr>
      <w:tr w:rsidR="008B072E" w14:paraId="71F6A8E8" w14:textId="77777777" w:rsidTr="76C5D006">
        <w:tc>
          <w:tcPr>
            <w:tcW w:w="3570" w:type="dxa"/>
            <w:vMerge/>
            <w:vAlign w:val="center"/>
            <w:hideMark/>
          </w:tcPr>
          <w:p w14:paraId="091E80DF" w14:textId="77777777" w:rsidR="008B072E" w:rsidRDefault="008B072E">
            <w:pPr>
              <w:spacing w:after="0" w:line="240" w:lineRule="auto"/>
            </w:pPr>
          </w:p>
        </w:tc>
        <w:tc>
          <w:tcPr>
            <w:tcW w:w="2616" w:type="dxa"/>
            <w:vMerge/>
            <w:vAlign w:val="center"/>
            <w:hideMark/>
          </w:tcPr>
          <w:p w14:paraId="7242A933" w14:textId="77777777" w:rsidR="008B072E" w:rsidRDefault="008B072E">
            <w:pPr>
              <w:spacing w:after="0" w:line="240" w:lineRule="auto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0098" w14:textId="7564B347" w:rsidR="0075447C" w:rsidRDefault="00A20C37" w:rsidP="76C5D006">
            <w:r w:rsidRPr="76C5D006">
              <w:t>1</w:t>
            </w:r>
            <w:r w:rsidR="0A7186BC" w:rsidRPr="76C5D006">
              <w:t>2 maart</w:t>
            </w:r>
            <w:r w:rsidRPr="76C5D006">
              <w:t xml:space="preserve"> </w:t>
            </w:r>
            <w:r w:rsidR="0075447C" w:rsidRPr="76C5D006">
              <w:t>202</w:t>
            </w:r>
            <w:r w:rsidRPr="76C5D006"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C76" w14:textId="77777777" w:rsidR="008B072E" w:rsidRDefault="008B072E" w:rsidP="76C5D006"/>
        </w:tc>
      </w:tr>
      <w:tr w:rsidR="008B072E" w14:paraId="7A87F3B6" w14:textId="77777777" w:rsidTr="76C5D006">
        <w:tc>
          <w:tcPr>
            <w:tcW w:w="3570" w:type="dxa"/>
            <w:vMerge/>
            <w:vAlign w:val="center"/>
            <w:hideMark/>
          </w:tcPr>
          <w:p w14:paraId="1EBACC67" w14:textId="77777777" w:rsidR="008B072E" w:rsidRDefault="008B072E">
            <w:pPr>
              <w:spacing w:after="0" w:line="240" w:lineRule="auto"/>
            </w:pPr>
          </w:p>
        </w:tc>
        <w:tc>
          <w:tcPr>
            <w:tcW w:w="2616" w:type="dxa"/>
            <w:vMerge/>
            <w:vAlign w:val="center"/>
            <w:hideMark/>
          </w:tcPr>
          <w:p w14:paraId="7F4046FC" w14:textId="77777777" w:rsidR="008B072E" w:rsidRDefault="008B072E">
            <w:pPr>
              <w:spacing w:after="0" w:line="240" w:lineRule="auto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1AE5" w14:textId="74FE0C69" w:rsidR="008B072E" w:rsidRDefault="008B072E" w:rsidP="76C5D006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AC05" w14:textId="77777777" w:rsidR="008B072E" w:rsidRDefault="008B072E" w:rsidP="76C5D006"/>
        </w:tc>
      </w:tr>
      <w:tr w:rsidR="008B072E" w14:paraId="03C74D33" w14:textId="77777777" w:rsidTr="76C5D006">
        <w:tc>
          <w:tcPr>
            <w:tcW w:w="3570" w:type="dxa"/>
            <w:vMerge/>
            <w:vAlign w:val="center"/>
            <w:hideMark/>
          </w:tcPr>
          <w:p w14:paraId="4C9D7A4A" w14:textId="77777777" w:rsidR="008B072E" w:rsidRDefault="008B072E">
            <w:pPr>
              <w:spacing w:after="0" w:line="240" w:lineRule="auto"/>
            </w:pPr>
          </w:p>
        </w:tc>
        <w:tc>
          <w:tcPr>
            <w:tcW w:w="2616" w:type="dxa"/>
            <w:vMerge/>
            <w:vAlign w:val="center"/>
            <w:hideMark/>
          </w:tcPr>
          <w:p w14:paraId="50693562" w14:textId="77777777" w:rsidR="008B072E" w:rsidRDefault="008B072E">
            <w:pPr>
              <w:spacing w:after="0" w:line="240" w:lineRule="auto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BE5" w14:textId="77777777" w:rsidR="008B072E" w:rsidRDefault="008B072E" w:rsidP="76C5D006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496" w14:textId="77777777" w:rsidR="008B072E" w:rsidRDefault="008B072E" w:rsidP="76C5D006"/>
        </w:tc>
      </w:tr>
    </w:tbl>
    <w:p w14:paraId="53E29CB6" w14:textId="214E558F" w:rsidR="00C67EDF" w:rsidRPr="00D84CB1" w:rsidRDefault="00C67EDF" w:rsidP="76C5D006"/>
    <w:p w14:paraId="47095792" w14:textId="7CC2D89F" w:rsidR="286C6A4E" w:rsidRDefault="286C6A4E" w:rsidP="2D5F88C6">
      <w:pPr>
        <w:rPr>
          <w:sz w:val="20"/>
          <w:szCs w:val="20"/>
        </w:rPr>
      </w:pPr>
      <w:r w:rsidRPr="2D5F88C6">
        <w:rPr>
          <w:sz w:val="20"/>
          <w:szCs w:val="20"/>
        </w:rPr>
        <w:t>Het Bestuur van de Vereniging van Bewoners van de Service Appartemen</w:t>
      </w:r>
      <w:r w:rsidR="2E21A28C" w:rsidRPr="2D5F88C6">
        <w:rPr>
          <w:sz w:val="20"/>
          <w:szCs w:val="20"/>
        </w:rPr>
        <w:t xml:space="preserve">ten Oranjewoud nodigt haar leden hierbij uit voor het bijwonen van </w:t>
      </w:r>
      <w:r w:rsidR="71700E35" w:rsidRPr="2D5F88C6">
        <w:rPr>
          <w:sz w:val="20"/>
          <w:szCs w:val="20"/>
        </w:rPr>
        <w:t>de Algemene Leden Vergadering</w:t>
      </w:r>
      <w:r w:rsidR="3F7C7473" w:rsidRPr="2D5F88C6">
        <w:rPr>
          <w:sz w:val="20"/>
          <w:szCs w:val="20"/>
        </w:rPr>
        <w:t>. Deze zal worden gehouden op woensdag 12 maart 2025, om 15.00 uur in de Pelikaanzaal</w:t>
      </w:r>
      <w:r w:rsidR="31A62458" w:rsidRPr="2D5F88C6">
        <w:rPr>
          <w:sz w:val="20"/>
          <w:szCs w:val="20"/>
        </w:rPr>
        <w:t>, de zaal is open vanaf 14.30 uur.</w:t>
      </w:r>
    </w:p>
    <w:p w14:paraId="79FEFE07" w14:textId="28B4B58B" w:rsidR="09A2117D" w:rsidRDefault="09A2117D" w:rsidP="76C5D006">
      <w:pPr>
        <w:rPr>
          <w:sz w:val="20"/>
          <w:szCs w:val="20"/>
        </w:rPr>
      </w:pPr>
      <w:r w:rsidRPr="76C5D006">
        <w:rPr>
          <w:sz w:val="20"/>
          <w:szCs w:val="20"/>
          <w:u w:val="single"/>
        </w:rPr>
        <w:t>AGENDA</w:t>
      </w:r>
    </w:p>
    <w:p w14:paraId="3E9656D4" w14:textId="33DF03B2" w:rsidR="09A2117D" w:rsidRDefault="09A2117D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1.</w:t>
      </w:r>
      <w:r>
        <w:tab/>
      </w:r>
      <w:r w:rsidRPr="76C5D006">
        <w:rPr>
          <w:sz w:val="20"/>
          <w:szCs w:val="20"/>
        </w:rPr>
        <w:t>Opening</w:t>
      </w:r>
    </w:p>
    <w:p w14:paraId="24BA5FE1" w14:textId="199B8B6F" w:rsidR="09A2117D" w:rsidRDefault="09A2117D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2.</w:t>
      </w:r>
      <w:r>
        <w:tab/>
      </w:r>
      <w:r w:rsidR="246CE7D8" w:rsidRPr="76C5D006">
        <w:rPr>
          <w:sz w:val="20"/>
          <w:szCs w:val="20"/>
        </w:rPr>
        <w:t>Mededelingen</w:t>
      </w:r>
    </w:p>
    <w:p w14:paraId="6D0A0593" w14:textId="78533D8E" w:rsidR="246CE7D8" w:rsidRDefault="246CE7D8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3.</w:t>
      </w:r>
      <w:r>
        <w:tab/>
      </w:r>
      <w:r w:rsidR="46149AEC" w:rsidRPr="76C5D006">
        <w:rPr>
          <w:sz w:val="20"/>
          <w:szCs w:val="20"/>
        </w:rPr>
        <w:t>No</w:t>
      </w:r>
      <w:r w:rsidRPr="76C5D006">
        <w:rPr>
          <w:sz w:val="20"/>
          <w:szCs w:val="20"/>
        </w:rPr>
        <w:t>tulen van de ALV</w:t>
      </w:r>
      <w:r w:rsidR="2A7DDF7E" w:rsidRPr="76C5D006">
        <w:rPr>
          <w:sz w:val="20"/>
          <w:szCs w:val="20"/>
        </w:rPr>
        <w:t xml:space="preserve"> van 29 februari 2024</w:t>
      </w:r>
      <w:r w:rsidRPr="76C5D006">
        <w:rPr>
          <w:sz w:val="20"/>
          <w:szCs w:val="20"/>
        </w:rPr>
        <w:t xml:space="preserve"> </w:t>
      </w:r>
    </w:p>
    <w:p w14:paraId="784A4206" w14:textId="6F8E748F" w:rsidR="74EE03C9" w:rsidRDefault="74EE03C9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4.</w:t>
      </w:r>
      <w:r>
        <w:tab/>
      </w:r>
      <w:r w:rsidRPr="76C5D006">
        <w:rPr>
          <w:sz w:val="20"/>
          <w:szCs w:val="20"/>
        </w:rPr>
        <w:t>Ingekomen stukken</w:t>
      </w:r>
    </w:p>
    <w:p w14:paraId="49BEFD15" w14:textId="25F61810" w:rsidR="74EE03C9" w:rsidRDefault="74EE03C9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 xml:space="preserve">5. </w:t>
      </w:r>
      <w:r>
        <w:tab/>
      </w:r>
      <w:r w:rsidR="4D8E8F59" w:rsidRPr="76C5D006">
        <w:rPr>
          <w:sz w:val="20"/>
          <w:szCs w:val="20"/>
        </w:rPr>
        <w:t>Jaarverslag 2024</w:t>
      </w:r>
    </w:p>
    <w:p w14:paraId="1E165D32" w14:textId="25031C19" w:rsidR="74EE03C9" w:rsidRDefault="74EE03C9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 xml:space="preserve">6. </w:t>
      </w:r>
      <w:r>
        <w:tab/>
      </w:r>
      <w:r w:rsidR="54670F21" w:rsidRPr="76C5D006">
        <w:rPr>
          <w:sz w:val="20"/>
          <w:szCs w:val="20"/>
        </w:rPr>
        <w:t>Financieel overzicht over 2024 en verslag kascommissie</w:t>
      </w:r>
    </w:p>
    <w:p w14:paraId="4439274E" w14:textId="2A66A609" w:rsidR="4C168B38" w:rsidRDefault="4C168B38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7</w:t>
      </w:r>
      <w:r w:rsidR="476B30DB" w:rsidRPr="76C5D006">
        <w:rPr>
          <w:sz w:val="20"/>
          <w:szCs w:val="20"/>
        </w:rPr>
        <w:t>.</w:t>
      </w:r>
      <w:r>
        <w:tab/>
      </w:r>
      <w:r w:rsidR="39F1A60C" w:rsidRPr="76C5D006">
        <w:rPr>
          <w:sz w:val="20"/>
          <w:szCs w:val="20"/>
        </w:rPr>
        <w:t>Benoeming lid kascommissie</w:t>
      </w:r>
    </w:p>
    <w:p w14:paraId="7FBEFC9F" w14:textId="68C31174" w:rsidR="57A4E312" w:rsidRDefault="57A4E312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8</w:t>
      </w:r>
      <w:r>
        <w:tab/>
      </w:r>
      <w:r w:rsidR="4D182F7D" w:rsidRPr="76C5D006">
        <w:rPr>
          <w:sz w:val="20"/>
          <w:szCs w:val="20"/>
        </w:rPr>
        <w:t>Begroting 2025</w:t>
      </w:r>
      <w:r>
        <w:tab/>
      </w:r>
    </w:p>
    <w:p w14:paraId="555A45B7" w14:textId="672E3FA2" w:rsidR="31E6CA91" w:rsidRDefault="31E6CA91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9</w:t>
      </w:r>
      <w:r w:rsidR="09D40D21" w:rsidRPr="76C5D006">
        <w:rPr>
          <w:sz w:val="20"/>
          <w:szCs w:val="20"/>
        </w:rPr>
        <w:t>.</w:t>
      </w:r>
      <w:r>
        <w:tab/>
      </w:r>
      <w:r w:rsidR="380BAA4A" w:rsidRPr="76C5D006">
        <w:rPr>
          <w:sz w:val="20"/>
          <w:szCs w:val="20"/>
        </w:rPr>
        <w:t>Vlaggenprotocol</w:t>
      </w:r>
    </w:p>
    <w:p w14:paraId="63E3C54E" w14:textId="3E9D7F39" w:rsidR="3DB579E4" w:rsidRDefault="3DB579E4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10</w:t>
      </w:r>
      <w:r w:rsidR="09D40D21" w:rsidRPr="76C5D006">
        <w:rPr>
          <w:sz w:val="20"/>
          <w:szCs w:val="20"/>
        </w:rPr>
        <w:t>.</w:t>
      </w:r>
      <w:r>
        <w:tab/>
      </w:r>
      <w:r w:rsidR="60D1B257" w:rsidRPr="76C5D006">
        <w:rPr>
          <w:sz w:val="20"/>
          <w:szCs w:val="20"/>
        </w:rPr>
        <w:t>Rondvraag</w:t>
      </w:r>
    </w:p>
    <w:p w14:paraId="1F51D666" w14:textId="7B0BE5F5" w:rsidR="4BE0741E" w:rsidRDefault="09D40D21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1</w:t>
      </w:r>
      <w:r w:rsidR="10B4B9A5" w:rsidRPr="76C5D006">
        <w:rPr>
          <w:sz w:val="20"/>
          <w:szCs w:val="20"/>
        </w:rPr>
        <w:t>1</w:t>
      </w:r>
      <w:r w:rsidR="6E7C028F" w:rsidRPr="76C5D006">
        <w:rPr>
          <w:sz w:val="20"/>
          <w:szCs w:val="20"/>
        </w:rPr>
        <w:t>.</w:t>
      </w:r>
      <w:r w:rsidR="4BE0741E">
        <w:tab/>
      </w:r>
      <w:r w:rsidRPr="76C5D006">
        <w:rPr>
          <w:sz w:val="20"/>
          <w:szCs w:val="20"/>
        </w:rPr>
        <w:t>Sluiting van het huishoudelijk deel van de vergadering</w:t>
      </w:r>
    </w:p>
    <w:p w14:paraId="5F6F25FB" w14:textId="6CE3500A" w:rsidR="09D40D21" w:rsidRDefault="09D40D21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PAUZE</w:t>
      </w:r>
    </w:p>
    <w:p w14:paraId="3DDCD22D" w14:textId="273ACAF8" w:rsidR="09D40D21" w:rsidRDefault="09D40D21" w:rsidP="77517456">
      <w:pPr>
        <w:rPr>
          <w:sz w:val="20"/>
          <w:szCs w:val="20"/>
        </w:rPr>
      </w:pPr>
      <w:r w:rsidRPr="77517456">
        <w:rPr>
          <w:sz w:val="20"/>
          <w:szCs w:val="20"/>
        </w:rPr>
        <w:t>In de pauze wordt U koffie/thee met versnapering aangeboden</w:t>
      </w:r>
      <w:r w:rsidR="3F793BF3" w:rsidRPr="77517456">
        <w:rPr>
          <w:sz w:val="20"/>
          <w:szCs w:val="20"/>
        </w:rPr>
        <w:t>. Na de pauze</w:t>
      </w:r>
      <w:r w:rsidR="6A282D25" w:rsidRPr="77517456">
        <w:rPr>
          <w:sz w:val="20"/>
          <w:szCs w:val="20"/>
        </w:rPr>
        <w:t xml:space="preserve"> willen we samen met Ruben Grevers, directeur Stichting Oranjewoud Wonen, met u in gesprek gaan</w:t>
      </w:r>
      <w:r w:rsidR="508F2725" w:rsidRPr="77517456">
        <w:rPr>
          <w:sz w:val="20"/>
          <w:szCs w:val="20"/>
        </w:rPr>
        <w:t xml:space="preserve"> over de toerkomstvisie op zorg.</w:t>
      </w:r>
    </w:p>
    <w:p w14:paraId="715CF189" w14:textId="52E54CD0" w:rsidR="11F74CF1" w:rsidRDefault="11F74CF1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Bijlagen:</w:t>
      </w:r>
    </w:p>
    <w:p w14:paraId="73A37251" w14:textId="36BBF08D" w:rsidR="11F74CF1" w:rsidRDefault="11F74CF1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Jaarverslag 2024</w:t>
      </w:r>
    </w:p>
    <w:p w14:paraId="7999A99E" w14:textId="4D7FED4D" w:rsidR="11F74CF1" w:rsidRDefault="11F74CF1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>Financieel verslag 2024 en begroting 2025</w:t>
      </w:r>
    </w:p>
    <w:p w14:paraId="283D2922" w14:textId="1356B6BB" w:rsidR="11F74CF1" w:rsidRDefault="11F74CF1" w:rsidP="76C5D006">
      <w:pPr>
        <w:rPr>
          <w:sz w:val="20"/>
          <w:szCs w:val="20"/>
        </w:rPr>
      </w:pPr>
      <w:r w:rsidRPr="76C5D006">
        <w:rPr>
          <w:sz w:val="20"/>
          <w:szCs w:val="20"/>
        </w:rPr>
        <w:t xml:space="preserve">De notulen van de ALV van 29 februari 2024 zijn reeds in uw bezit en ook terug te vinden </w:t>
      </w:r>
      <w:r w:rsidR="3BBC7EB8" w:rsidRPr="76C5D006">
        <w:rPr>
          <w:sz w:val="20"/>
          <w:szCs w:val="20"/>
        </w:rPr>
        <w:t>op de website: www.bewonersverenigingvijverlaan.nl</w:t>
      </w:r>
    </w:p>
    <w:p w14:paraId="77B2AAD8" w14:textId="296D4FF2" w:rsidR="76C5D006" w:rsidRDefault="76C5D006" w:rsidP="76C5D006">
      <w:pPr>
        <w:pStyle w:val="Lijstalinea"/>
        <w:rPr>
          <w:sz w:val="20"/>
          <w:szCs w:val="20"/>
        </w:rPr>
      </w:pPr>
    </w:p>
    <w:sectPr w:rsidR="76C5D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157"/>
    <w:multiLevelType w:val="hybridMultilevel"/>
    <w:tmpl w:val="CED0B104"/>
    <w:lvl w:ilvl="0" w:tplc="197E47E6">
      <w:start w:val="1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93953"/>
    <w:multiLevelType w:val="hybridMultilevel"/>
    <w:tmpl w:val="29040C28"/>
    <w:lvl w:ilvl="0" w:tplc="A60A53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E78"/>
    <w:multiLevelType w:val="hybridMultilevel"/>
    <w:tmpl w:val="A02AD7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26B3"/>
    <w:multiLevelType w:val="hybridMultilevel"/>
    <w:tmpl w:val="FD9CE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3C19"/>
    <w:multiLevelType w:val="hybridMultilevel"/>
    <w:tmpl w:val="88BC17E8"/>
    <w:lvl w:ilvl="0" w:tplc="13C6EE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C32"/>
    <w:multiLevelType w:val="hybridMultilevel"/>
    <w:tmpl w:val="FE8266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2D37"/>
    <w:multiLevelType w:val="hybridMultilevel"/>
    <w:tmpl w:val="EB0E252E"/>
    <w:lvl w:ilvl="0" w:tplc="FC8E714C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953044">
    <w:abstractNumId w:val="3"/>
  </w:num>
  <w:num w:numId="2" w16cid:durableId="388186519">
    <w:abstractNumId w:val="5"/>
  </w:num>
  <w:num w:numId="3" w16cid:durableId="732855350">
    <w:abstractNumId w:val="4"/>
  </w:num>
  <w:num w:numId="4" w16cid:durableId="242883427">
    <w:abstractNumId w:val="1"/>
  </w:num>
  <w:num w:numId="5" w16cid:durableId="1778477465">
    <w:abstractNumId w:val="2"/>
  </w:num>
  <w:num w:numId="6" w16cid:durableId="340275749">
    <w:abstractNumId w:val="6"/>
  </w:num>
  <w:num w:numId="7" w16cid:durableId="51118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2E"/>
    <w:rsid w:val="000023CB"/>
    <w:rsid w:val="000176C9"/>
    <w:rsid w:val="000505F9"/>
    <w:rsid w:val="000817D8"/>
    <w:rsid w:val="000A54E6"/>
    <w:rsid w:val="000B74A8"/>
    <w:rsid w:val="000B7EC9"/>
    <w:rsid w:val="000C2975"/>
    <w:rsid w:val="000D03DB"/>
    <w:rsid w:val="000D24F6"/>
    <w:rsid w:val="000D65E5"/>
    <w:rsid w:val="000F14F3"/>
    <w:rsid w:val="00131121"/>
    <w:rsid w:val="0014637F"/>
    <w:rsid w:val="00151C0A"/>
    <w:rsid w:val="001764CF"/>
    <w:rsid w:val="0018217F"/>
    <w:rsid w:val="00185B0D"/>
    <w:rsid w:val="00186479"/>
    <w:rsid w:val="001A4A45"/>
    <w:rsid w:val="001D30FD"/>
    <w:rsid w:val="001F6D54"/>
    <w:rsid w:val="00210730"/>
    <w:rsid w:val="002122F1"/>
    <w:rsid w:val="0021308E"/>
    <w:rsid w:val="00214249"/>
    <w:rsid w:val="002233AB"/>
    <w:rsid w:val="0022378B"/>
    <w:rsid w:val="002306D1"/>
    <w:rsid w:val="00250600"/>
    <w:rsid w:val="00260D21"/>
    <w:rsid w:val="00263D70"/>
    <w:rsid w:val="0027003B"/>
    <w:rsid w:val="0027398A"/>
    <w:rsid w:val="00277ECD"/>
    <w:rsid w:val="0028126F"/>
    <w:rsid w:val="002813E9"/>
    <w:rsid w:val="00281D96"/>
    <w:rsid w:val="002A0EAF"/>
    <w:rsid w:val="002B5F1B"/>
    <w:rsid w:val="002C3648"/>
    <w:rsid w:val="002F33A0"/>
    <w:rsid w:val="003061F1"/>
    <w:rsid w:val="0032672E"/>
    <w:rsid w:val="00327CD6"/>
    <w:rsid w:val="003352A7"/>
    <w:rsid w:val="003362E9"/>
    <w:rsid w:val="00343D2B"/>
    <w:rsid w:val="00361EF6"/>
    <w:rsid w:val="00372067"/>
    <w:rsid w:val="00386FFF"/>
    <w:rsid w:val="00387FAE"/>
    <w:rsid w:val="00397AD8"/>
    <w:rsid w:val="003B6182"/>
    <w:rsid w:val="003B68EE"/>
    <w:rsid w:val="003C50D6"/>
    <w:rsid w:val="003D6961"/>
    <w:rsid w:val="00414F66"/>
    <w:rsid w:val="00420A5F"/>
    <w:rsid w:val="004212E1"/>
    <w:rsid w:val="004222BB"/>
    <w:rsid w:val="004238A3"/>
    <w:rsid w:val="00442D99"/>
    <w:rsid w:val="00442E10"/>
    <w:rsid w:val="00453361"/>
    <w:rsid w:val="004966D6"/>
    <w:rsid w:val="004B6B29"/>
    <w:rsid w:val="00525082"/>
    <w:rsid w:val="005370A8"/>
    <w:rsid w:val="00555EE7"/>
    <w:rsid w:val="00556B0B"/>
    <w:rsid w:val="00561BD5"/>
    <w:rsid w:val="00592BE6"/>
    <w:rsid w:val="005A11E6"/>
    <w:rsid w:val="005B6BE4"/>
    <w:rsid w:val="005C122A"/>
    <w:rsid w:val="005C29AD"/>
    <w:rsid w:val="005F0888"/>
    <w:rsid w:val="005F79EB"/>
    <w:rsid w:val="00605766"/>
    <w:rsid w:val="00605DD6"/>
    <w:rsid w:val="00611755"/>
    <w:rsid w:val="006145C9"/>
    <w:rsid w:val="00615F98"/>
    <w:rsid w:val="00617B29"/>
    <w:rsid w:val="00640E2A"/>
    <w:rsid w:val="006446B4"/>
    <w:rsid w:val="00681888"/>
    <w:rsid w:val="0068348B"/>
    <w:rsid w:val="00683FD2"/>
    <w:rsid w:val="006A0716"/>
    <w:rsid w:val="006A0B05"/>
    <w:rsid w:val="006A5F82"/>
    <w:rsid w:val="006B00D3"/>
    <w:rsid w:val="006B2F79"/>
    <w:rsid w:val="006B63B1"/>
    <w:rsid w:val="006B7B65"/>
    <w:rsid w:val="006C00EE"/>
    <w:rsid w:val="006C1EBE"/>
    <w:rsid w:val="006C7117"/>
    <w:rsid w:val="006F46B3"/>
    <w:rsid w:val="007301BA"/>
    <w:rsid w:val="00745D0D"/>
    <w:rsid w:val="00745EA8"/>
    <w:rsid w:val="0075447C"/>
    <w:rsid w:val="007678B5"/>
    <w:rsid w:val="0077336E"/>
    <w:rsid w:val="00780374"/>
    <w:rsid w:val="00792C53"/>
    <w:rsid w:val="007A2BA7"/>
    <w:rsid w:val="007D0401"/>
    <w:rsid w:val="007D6BC5"/>
    <w:rsid w:val="007E4F69"/>
    <w:rsid w:val="007F0846"/>
    <w:rsid w:val="007F0ED2"/>
    <w:rsid w:val="008121D5"/>
    <w:rsid w:val="00863BCF"/>
    <w:rsid w:val="008677BD"/>
    <w:rsid w:val="008714C0"/>
    <w:rsid w:val="00875555"/>
    <w:rsid w:val="008855E8"/>
    <w:rsid w:val="008938F3"/>
    <w:rsid w:val="008B072E"/>
    <w:rsid w:val="008C1A25"/>
    <w:rsid w:val="008C20AC"/>
    <w:rsid w:val="008E0738"/>
    <w:rsid w:val="008E2139"/>
    <w:rsid w:val="008E4310"/>
    <w:rsid w:val="00904151"/>
    <w:rsid w:val="00913DC4"/>
    <w:rsid w:val="00916DFA"/>
    <w:rsid w:val="00925286"/>
    <w:rsid w:val="00932C1D"/>
    <w:rsid w:val="00932D59"/>
    <w:rsid w:val="00960110"/>
    <w:rsid w:val="00963B40"/>
    <w:rsid w:val="0096427E"/>
    <w:rsid w:val="00964D99"/>
    <w:rsid w:val="00974D4A"/>
    <w:rsid w:val="00991CC5"/>
    <w:rsid w:val="009A55AC"/>
    <w:rsid w:val="009B117B"/>
    <w:rsid w:val="009B28CA"/>
    <w:rsid w:val="009E2D25"/>
    <w:rsid w:val="009E3AB2"/>
    <w:rsid w:val="00A02D26"/>
    <w:rsid w:val="00A20C37"/>
    <w:rsid w:val="00A373E4"/>
    <w:rsid w:val="00A455AA"/>
    <w:rsid w:val="00A53BF5"/>
    <w:rsid w:val="00A85F93"/>
    <w:rsid w:val="00A94809"/>
    <w:rsid w:val="00A960F5"/>
    <w:rsid w:val="00AA253A"/>
    <w:rsid w:val="00AA3CE0"/>
    <w:rsid w:val="00AA77F5"/>
    <w:rsid w:val="00AA7FF2"/>
    <w:rsid w:val="00AB2511"/>
    <w:rsid w:val="00AC1F1D"/>
    <w:rsid w:val="00AD0236"/>
    <w:rsid w:val="00AD34C8"/>
    <w:rsid w:val="00B2602D"/>
    <w:rsid w:val="00B37E2D"/>
    <w:rsid w:val="00B4695E"/>
    <w:rsid w:val="00B639A2"/>
    <w:rsid w:val="00B715F6"/>
    <w:rsid w:val="00BA4298"/>
    <w:rsid w:val="00BA62C9"/>
    <w:rsid w:val="00BB6446"/>
    <w:rsid w:val="00BD25B2"/>
    <w:rsid w:val="00BE3CCF"/>
    <w:rsid w:val="00C01991"/>
    <w:rsid w:val="00C04688"/>
    <w:rsid w:val="00C12342"/>
    <w:rsid w:val="00C12741"/>
    <w:rsid w:val="00C37623"/>
    <w:rsid w:val="00C40850"/>
    <w:rsid w:val="00C476E9"/>
    <w:rsid w:val="00C56928"/>
    <w:rsid w:val="00C618FC"/>
    <w:rsid w:val="00C67EDF"/>
    <w:rsid w:val="00C73237"/>
    <w:rsid w:val="00C74187"/>
    <w:rsid w:val="00C74D70"/>
    <w:rsid w:val="00C833EC"/>
    <w:rsid w:val="00C87610"/>
    <w:rsid w:val="00C95B54"/>
    <w:rsid w:val="00CA65CA"/>
    <w:rsid w:val="00CB0B39"/>
    <w:rsid w:val="00CC3038"/>
    <w:rsid w:val="00CC6CB0"/>
    <w:rsid w:val="00CD0C0F"/>
    <w:rsid w:val="00CE70B9"/>
    <w:rsid w:val="00CF2C41"/>
    <w:rsid w:val="00D14477"/>
    <w:rsid w:val="00D16C65"/>
    <w:rsid w:val="00D2761C"/>
    <w:rsid w:val="00D419A5"/>
    <w:rsid w:val="00D4326E"/>
    <w:rsid w:val="00D4774D"/>
    <w:rsid w:val="00D520A1"/>
    <w:rsid w:val="00D65297"/>
    <w:rsid w:val="00D84CB1"/>
    <w:rsid w:val="00D975B6"/>
    <w:rsid w:val="00DE112C"/>
    <w:rsid w:val="00DE5998"/>
    <w:rsid w:val="00DE5C50"/>
    <w:rsid w:val="00DF2954"/>
    <w:rsid w:val="00DF7BB8"/>
    <w:rsid w:val="00E01F33"/>
    <w:rsid w:val="00E1188A"/>
    <w:rsid w:val="00E152A0"/>
    <w:rsid w:val="00E16843"/>
    <w:rsid w:val="00E26D8C"/>
    <w:rsid w:val="00E51440"/>
    <w:rsid w:val="00E55C72"/>
    <w:rsid w:val="00E55F0D"/>
    <w:rsid w:val="00E6438F"/>
    <w:rsid w:val="00E774D9"/>
    <w:rsid w:val="00E90655"/>
    <w:rsid w:val="00E90845"/>
    <w:rsid w:val="00E91C0E"/>
    <w:rsid w:val="00EA2130"/>
    <w:rsid w:val="00EA3747"/>
    <w:rsid w:val="00EC3C41"/>
    <w:rsid w:val="00EE03D5"/>
    <w:rsid w:val="00EE0B6F"/>
    <w:rsid w:val="00F059A2"/>
    <w:rsid w:val="00F15E1F"/>
    <w:rsid w:val="00F23065"/>
    <w:rsid w:val="00F3097A"/>
    <w:rsid w:val="00F3319E"/>
    <w:rsid w:val="00F535FB"/>
    <w:rsid w:val="00F70CE5"/>
    <w:rsid w:val="00F74801"/>
    <w:rsid w:val="00F90C19"/>
    <w:rsid w:val="00FB648A"/>
    <w:rsid w:val="00FD1043"/>
    <w:rsid w:val="00FD2A38"/>
    <w:rsid w:val="00FD6F51"/>
    <w:rsid w:val="00FE4315"/>
    <w:rsid w:val="00FE59CB"/>
    <w:rsid w:val="00FF199D"/>
    <w:rsid w:val="032BBEF1"/>
    <w:rsid w:val="059ACA76"/>
    <w:rsid w:val="05B68A09"/>
    <w:rsid w:val="05DDC55D"/>
    <w:rsid w:val="06F7A0C9"/>
    <w:rsid w:val="09A2117D"/>
    <w:rsid w:val="09D40D21"/>
    <w:rsid w:val="0A7186BC"/>
    <w:rsid w:val="0A76B536"/>
    <w:rsid w:val="0C5D04E3"/>
    <w:rsid w:val="0CAED4BA"/>
    <w:rsid w:val="0CEBA152"/>
    <w:rsid w:val="0D4F5991"/>
    <w:rsid w:val="0D5FBA98"/>
    <w:rsid w:val="0D7131DE"/>
    <w:rsid w:val="0DA394F8"/>
    <w:rsid w:val="0E3CCB76"/>
    <w:rsid w:val="0F40F437"/>
    <w:rsid w:val="0FEE25CA"/>
    <w:rsid w:val="10B4B9A5"/>
    <w:rsid w:val="1122D1A4"/>
    <w:rsid w:val="11F74CF1"/>
    <w:rsid w:val="1242979A"/>
    <w:rsid w:val="135198CE"/>
    <w:rsid w:val="13EE9D2B"/>
    <w:rsid w:val="14DD9CA3"/>
    <w:rsid w:val="157CC850"/>
    <w:rsid w:val="16F0084C"/>
    <w:rsid w:val="188D89C0"/>
    <w:rsid w:val="196CEF9D"/>
    <w:rsid w:val="1981A3FA"/>
    <w:rsid w:val="1A5CD641"/>
    <w:rsid w:val="1A621D65"/>
    <w:rsid w:val="1B98E034"/>
    <w:rsid w:val="1BB30117"/>
    <w:rsid w:val="1C4A7675"/>
    <w:rsid w:val="1CFA6CF1"/>
    <w:rsid w:val="1D04CF7E"/>
    <w:rsid w:val="1D78B947"/>
    <w:rsid w:val="222B6E5A"/>
    <w:rsid w:val="22326688"/>
    <w:rsid w:val="22EB454A"/>
    <w:rsid w:val="2380EDCF"/>
    <w:rsid w:val="246CE7D8"/>
    <w:rsid w:val="27118F1C"/>
    <w:rsid w:val="27E7EFE3"/>
    <w:rsid w:val="286C6A4E"/>
    <w:rsid w:val="2A7DDF7E"/>
    <w:rsid w:val="2AB2FEAA"/>
    <w:rsid w:val="2AED688E"/>
    <w:rsid w:val="2BB16A76"/>
    <w:rsid w:val="2BC33A04"/>
    <w:rsid w:val="2D5DC721"/>
    <w:rsid w:val="2D5F88C6"/>
    <w:rsid w:val="2D74206D"/>
    <w:rsid w:val="2E15973E"/>
    <w:rsid w:val="2E21A28C"/>
    <w:rsid w:val="2E98BC45"/>
    <w:rsid w:val="2F1B3D55"/>
    <w:rsid w:val="30519185"/>
    <w:rsid w:val="30C8EBAB"/>
    <w:rsid w:val="31A62458"/>
    <w:rsid w:val="31E6CA91"/>
    <w:rsid w:val="37CBDE58"/>
    <w:rsid w:val="380BAA4A"/>
    <w:rsid w:val="386DF691"/>
    <w:rsid w:val="3919D7B8"/>
    <w:rsid w:val="39E76C32"/>
    <w:rsid w:val="39F1A60C"/>
    <w:rsid w:val="3BBA9E16"/>
    <w:rsid w:val="3BBC7EB8"/>
    <w:rsid w:val="3CFA4FB2"/>
    <w:rsid w:val="3D655EB8"/>
    <w:rsid w:val="3DB579E4"/>
    <w:rsid w:val="3E621B0E"/>
    <w:rsid w:val="3EA6833E"/>
    <w:rsid w:val="3F793BF3"/>
    <w:rsid w:val="3F7C7473"/>
    <w:rsid w:val="3FA1D27F"/>
    <w:rsid w:val="4069D5FD"/>
    <w:rsid w:val="421D862C"/>
    <w:rsid w:val="4260E726"/>
    <w:rsid w:val="426F9DCE"/>
    <w:rsid w:val="42CC240F"/>
    <w:rsid w:val="44B3C342"/>
    <w:rsid w:val="46149AEC"/>
    <w:rsid w:val="476B30DB"/>
    <w:rsid w:val="497D94B5"/>
    <w:rsid w:val="4AFFEA28"/>
    <w:rsid w:val="4BBD4D25"/>
    <w:rsid w:val="4BE0741E"/>
    <w:rsid w:val="4C168B38"/>
    <w:rsid w:val="4CCE73DF"/>
    <w:rsid w:val="4D182F7D"/>
    <w:rsid w:val="4D7436A6"/>
    <w:rsid w:val="4D8E8F59"/>
    <w:rsid w:val="4DC01C9B"/>
    <w:rsid w:val="4E8BEFAF"/>
    <w:rsid w:val="508F2725"/>
    <w:rsid w:val="51E83610"/>
    <w:rsid w:val="5308A2FB"/>
    <w:rsid w:val="5378F5F8"/>
    <w:rsid w:val="539C7ED0"/>
    <w:rsid w:val="54670F21"/>
    <w:rsid w:val="54CA070A"/>
    <w:rsid w:val="55032B56"/>
    <w:rsid w:val="55F8A878"/>
    <w:rsid w:val="5794D10B"/>
    <w:rsid w:val="57A4E312"/>
    <w:rsid w:val="57F6828D"/>
    <w:rsid w:val="59612244"/>
    <w:rsid w:val="59E0C49B"/>
    <w:rsid w:val="5A3090E8"/>
    <w:rsid w:val="5AAF525E"/>
    <w:rsid w:val="5E4D74D3"/>
    <w:rsid w:val="5F19378D"/>
    <w:rsid w:val="5FD3F4D0"/>
    <w:rsid w:val="60D1B257"/>
    <w:rsid w:val="60F301E3"/>
    <w:rsid w:val="62E9D738"/>
    <w:rsid w:val="6400EFC2"/>
    <w:rsid w:val="648AA757"/>
    <w:rsid w:val="6502A5B3"/>
    <w:rsid w:val="6850C65B"/>
    <w:rsid w:val="6943276E"/>
    <w:rsid w:val="6A282D25"/>
    <w:rsid w:val="6AF50B4F"/>
    <w:rsid w:val="6BF63FBF"/>
    <w:rsid w:val="6CE9166D"/>
    <w:rsid w:val="6E341E01"/>
    <w:rsid w:val="6E435D61"/>
    <w:rsid w:val="6E7295E9"/>
    <w:rsid w:val="6E7ACE2A"/>
    <w:rsid w:val="6E7C028F"/>
    <w:rsid w:val="70906D5A"/>
    <w:rsid w:val="70EF2B02"/>
    <w:rsid w:val="71700E35"/>
    <w:rsid w:val="72095E5B"/>
    <w:rsid w:val="720D6DF8"/>
    <w:rsid w:val="725A9FB3"/>
    <w:rsid w:val="7287A9AB"/>
    <w:rsid w:val="74EE03C9"/>
    <w:rsid w:val="756D9D82"/>
    <w:rsid w:val="76C5D006"/>
    <w:rsid w:val="77517456"/>
    <w:rsid w:val="79587A40"/>
    <w:rsid w:val="79E86E54"/>
    <w:rsid w:val="7C1C79FC"/>
    <w:rsid w:val="7CD0B56E"/>
    <w:rsid w:val="7EF6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2401"/>
  <w15:chartTrackingRefBased/>
  <w15:docId w15:val="{3E26510B-1E97-417E-8DFA-EA4578E0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72E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B07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07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07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07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07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07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07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07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07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0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0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0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07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07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07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07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07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07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0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B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07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0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072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B07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072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B07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0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07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072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B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8B072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Dirk Wolters</dc:creator>
  <cp:keywords/>
  <dc:description/>
  <cp:lastModifiedBy>Gebruiker</cp:lastModifiedBy>
  <cp:revision>2</cp:revision>
  <dcterms:created xsi:type="dcterms:W3CDTF">2025-02-25T10:08:00Z</dcterms:created>
  <dcterms:modified xsi:type="dcterms:W3CDTF">2025-02-25T10:08:00Z</dcterms:modified>
</cp:coreProperties>
</file>